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keepNext w:val="0"/>
        <w:keepLines w:val="0"/>
        <w:widowControl/>
        <w:suppressLineNumbers w:val="0"/>
        <w:wordWrap w:val="0"/>
        <w:spacing w:before="0" w:beforeAutospacing="0" w:after="0" w:afterAutospacing="0" w:line="555" w:lineRule="atLeast"/>
        <w:ind w:right="0"/>
        <w:jc w:val="center"/>
        <w:rPr>
          <w:rFonts w:hint="eastAsia" w:asciiTheme="minorEastAsia" w:hAnsiTheme="minorEastAsia" w:eastAsiaTheme="minorEastAsia" w:cstheme="minorEastAsia"/>
          <w:b/>
          <w:bCs/>
          <w:color w:val="333333"/>
          <w:sz w:val="36"/>
          <w:szCs w:val="36"/>
          <w:shd w:val="clear" w:fill="FFFFFF"/>
          <w:lang w:val="en-US" w:eastAsia="zh-CN"/>
        </w:rPr>
      </w:pPr>
      <w:r>
        <w:rPr>
          <w:rFonts w:hint="eastAsia" w:asciiTheme="minorEastAsia" w:hAnsiTheme="minorEastAsia" w:eastAsiaTheme="minorEastAsia" w:cstheme="minorEastAsia"/>
          <w:b/>
          <w:bCs/>
          <w:color w:val="333333"/>
          <w:sz w:val="36"/>
          <w:szCs w:val="36"/>
          <w:shd w:val="clear" w:fill="FFFFFF"/>
          <w:lang w:val="en-US" w:eastAsia="zh-CN"/>
        </w:rPr>
        <w:t>云南省嵩明职教基地管理委员会</w:t>
      </w:r>
    </w:p>
    <w:p>
      <w:pPr>
        <w:pStyle w:val="2"/>
        <w:keepNext w:val="0"/>
        <w:keepLines w:val="0"/>
        <w:widowControl/>
        <w:suppressLineNumbers w:val="0"/>
        <w:wordWrap w:val="0"/>
        <w:spacing w:before="0" w:beforeAutospacing="0" w:after="0" w:afterAutospacing="0" w:line="555" w:lineRule="atLeast"/>
        <w:ind w:right="0"/>
        <w:jc w:val="center"/>
        <w:rPr>
          <w:rFonts w:hint="eastAsia" w:asciiTheme="minorEastAsia" w:hAnsiTheme="minorEastAsia" w:eastAsiaTheme="minorEastAsia" w:cstheme="minorEastAsia"/>
          <w:b/>
          <w:bCs/>
          <w:color w:val="333333"/>
          <w:sz w:val="36"/>
          <w:szCs w:val="36"/>
          <w:shd w:val="clear" w:fill="FFFFFF"/>
          <w:lang w:val="en-US" w:eastAsia="zh-CN"/>
        </w:rPr>
      </w:pPr>
      <w:r>
        <w:rPr>
          <w:rFonts w:hint="eastAsia" w:asciiTheme="minorEastAsia" w:hAnsiTheme="minorEastAsia" w:eastAsiaTheme="minorEastAsia" w:cstheme="minorEastAsia"/>
          <w:b/>
          <w:bCs/>
          <w:color w:val="333333"/>
          <w:sz w:val="36"/>
          <w:szCs w:val="36"/>
          <w:shd w:val="clear" w:fill="FFFFFF"/>
          <w:lang w:val="en-US" w:eastAsia="zh-CN"/>
        </w:rPr>
        <w:t>2016年部门决算专业性名词解释</w:t>
      </w:r>
    </w:p>
    <w:p>
      <w:pPr>
        <w:pStyle w:val="2"/>
        <w:keepNext w:val="0"/>
        <w:keepLines w:val="0"/>
        <w:widowControl/>
        <w:suppressLineNumbers w:val="0"/>
        <w:wordWrap w:val="0"/>
        <w:spacing w:before="0" w:beforeAutospacing="0" w:after="0" w:afterAutospacing="0" w:line="555" w:lineRule="atLeast"/>
        <w:ind w:left="526" w:right="0" w:firstLine="645"/>
        <w:jc w:val="center"/>
        <w:rPr>
          <w:rFonts w:hint="eastAsia" w:asciiTheme="minorEastAsia" w:hAnsiTheme="minorEastAsia" w:eastAsiaTheme="minorEastAsia" w:cstheme="minorEastAsia"/>
          <w:b/>
          <w:bCs/>
          <w:color w:val="333333"/>
          <w:sz w:val="36"/>
          <w:szCs w:val="36"/>
          <w:shd w:val="clear" w:fill="FFFFFF"/>
          <w:lang w:val="en-US" w:eastAsia="zh-CN"/>
        </w:rPr>
      </w:pPr>
    </w:p>
    <w:p>
      <w:pPr>
        <w:pStyle w:val="2"/>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line="360" w:lineRule="auto"/>
        <w:ind w:right="0" w:rightChars="0" w:firstLine="600" w:firstLineChars="200"/>
        <w:jc w:val="both"/>
        <w:textAlignment w:val="auto"/>
        <w:outlineLvl w:val="9"/>
        <w:rPr>
          <w:rFonts w:hint="eastAsia" w:asciiTheme="minorEastAsia" w:hAnsiTheme="minorEastAsia" w:eastAsiaTheme="minorEastAsia" w:cstheme="minorEastAsia"/>
          <w:sz w:val="30"/>
          <w:szCs w:val="30"/>
        </w:rPr>
      </w:pPr>
      <w:r>
        <w:rPr>
          <w:rFonts w:hint="eastAsia" w:asciiTheme="minorEastAsia" w:hAnsiTheme="minorEastAsia" w:eastAsiaTheme="minorEastAsia" w:cstheme="minorEastAsia"/>
          <w:color w:val="333333"/>
          <w:sz w:val="30"/>
          <w:szCs w:val="30"/>
          <w:shd w:val="clear" w:fill="FFFFFF"/>
        </w:rPr>
        <w:t xml:space="preserve">一、财政拨款收入：指财政部门当年拨付的资金。 </w:t>
      </w:r>
    </w:p>
    <w:p>
      <w:pPr>
        <w:pStyle w:val="2"/>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line="360" w:lineRule="auto"/>
        <w:ind w:right="0" w:rightChars="0" w:firstLine="600" w:firstLineChars="200"/>
        <w:jc w:val="both"/>
        <w:textAlignment w:val="auto"/>
        <w:outlineLvl w:val="9"/>
        <w:rPr>
          <w:rFonts w:hint="eastAsia" w:asciiTheme="minorEastAsia" w:hAnsiTheme="minorEastAsia" w:eastAsiaTheme="minorEastAsia" w:cstheme="minorEastAsia"/>
          <w:sz w:val="30"/>
          <w:szCs w:val="30"/>
        </w:rPr>
      </w:pPr>
      <w:r>
        <w:rPr>
          <w:rFonts w:hint="eastAsia" w:asciiTheme="minorEastAsia" w:hAnsiTheme="minorEastAsia" w:cstheme="minorEastAsia"/>
          <w:color w:val="333333"/>
          <w:sz w:val="30"/>
          <w:szCs w:val="30"/>
          <w:shd w:val="clear" w:fill="FFFFFF"/>
          <w:lang w:eastAsia="zh-CN"/>
        </w:rPr>
        <w:t>二</w:t>
      </w:r>
      <w:r>
        <w:rPr>
          <w:rFonts w:hint="eastAsia" w:asciiTheme="minorEastAsia" w:hAnsiTheme="minorEastAsia" w:eastAsiaTheme="minorEastAsia" w:cstheme="minorEastAsia"/>
          <w:color w:val="333333"/>
          <w:sz w:val="30"/>
          <w:szCs w:val="30"/>
          <w:shd w:val="clear" w:fill="FFFFFF"/>
        </w:rPr>
        <w:t xml:space="preserve">、年初结转和结余：指以前年度尚未完成、结转到本年 按有关规定继续使用的资金。 </w:t>
      </w:r>
    </w:p>
    <w:p>
      <w:pPr>
        <w:pStyle w:val="2"/>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line="360" w:lineRule="auto"/>
        <w:ind w:right="0" w:rightChars="0" w:firstLine="600" w:firstLineChars="200"/>
        <w:jc w:val="both"/>
        <w:textAlignment w:val="auto"/>
        <w:outlineLvl w:val="9"/>
        <w:rPr>
          <w:rFonts w:hint="eastAsia" w:asciiTheme="minorEastAsia" w:hAnsiTheme="minorEastAsia" w:eastAsiaTheme="minorEastAsia" w:cstheme="minorEastAsia"/>
          <w:sz w:val="30"/>
          <w:szCs w:val="30"/>
        </w:rPr>
      </w:pPr>
      <w:r>
        <w:rPr>
          <w:rFonts w:hint="eastAsia" w:asciiTheme="minorEastAsia" w:hAnsiTheme="minorEastAsia" w:cstheme="minorEastAsia"/>
          <w:color w:val="333333"/>
          <w:sz w:val="30"/>
          <w:szCs w:val="30"/>
          <w:shd w:val="clear" w:fill="FFFFFF"/>
          <w:lang w:eastAsia="zh-CN"/>
        </w:rPr>
        <w:t>三</w:t>
      </w:r>
      <w:r>
        <w:rPr>
          <w:rFonts w:hint="eastAsia" w:asciiTheme="minorEastAsia" w:hAnsiTheme="minorEastAsia" w:eastAsiaTheme="minorEastAsia" w:cstheme="minorEastAsia"/>
          <w:color w:val="333333"/>
          <w:sz w:val="30"/>
          <w:szCs w:val="30"/>
          <w:shd w:val="clear" w:fill="FFFFFF"/>
        </w:rPr>
        <w:t xml:space="preserve">、年末结转和结余：指本年度或以前年度预算安排、因客观条件发生变化无法按原计划实施，需要延迟到以后年度按有关规定继续使用的资金。 </w:t>
      </w:r>
    </w:p>
    <w:p>
      <w:pPr>
        <w:pStyle w:val="2"/>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line="360" w:lineRule="auto"/>
        <w:ind w:right="0" w:rightChars="0" w:firstLine="600" w:firstLineChars="200"/>
        <w:jc w:val="both"/>
        <w:textAlignment w:val="auto"/>
        <w:outlineLvl w:val="9"/>
        <w:rPr>
          <w:rFonts w:hint="eastAsia" w:asciiTheme="minorEastAsia" w:hAnsiTheme="minorEastAsia" w:eastAsiaTheme="minorEastAsia" w:cstheme="minorEastAsia"/>
          <w:sz w:val="30"/>
          <w:szCs w:val="30"/>
        </w:rPr>
      </w:pPr>
      <w:r>
        <w:rPr>
          <w:rFonts w:hint="eastAsia" w:asciiTheme="minorEastAsia" w:hAnsiTheme="minorEastAsia" w:cstheme="minorEastAsia"/>
          <w:color w:val="333333"/>
          <w:sz w:val="30"/>
          <w:szCs w:val="30"/>
          <w:shd w:val="clear" w:fill="FFFFFF"/>
          <w:lang w:eastAsia="zh-CN"/>
        </w:rPr>
        <w:t>四</w:t>
      </w:r>
      <w:r>
        <w:rPr>
          <w:rFonts w:hint="eastAsia" w:asciiTheme="minorEastAsia" w:hAnsiTheme="minorEastAsia" w:eastAsiaTheme="minorEastAsia" w:cstheme="minorEastAsia"/>
          <w:color w:val="333333"/>
          <w:sz w:val="30"/>
          <w:szCs w:val="30"/>
          <w:shd w:val="clear" w:fill="FFFFFF"/>
        </w:rPr>
        <w:t xml:space="preserve">、基本支出：指为保障机构正常运转、完成日常工作任务而发生的人员支出和公用支出。 </w:t>
      </w:r>
    </w:p>
    <w:p>
      <w:pPr>
        <w:pStyle w:val="2"/>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line="360" w:lineRule="auto"/>
        <w:ind w:right="0" w:rightChars="0" w:firstLine="600" w:firstLineChars="200"/>
        <w:jc w:val="both"/>
        <w:textAlignment w:val="auto"/>
        <w:outlineLvl w:val="9"/>
        <w:rPr>
          <w:rFonts w:hint="eastAsia" w:asciiTheme="minorEastAsia" w:hAnsiTheme="minorEastAsia" w:eastAsiaTheme="minorEastAsia" w:cstheme="minorEastAsia"/>
          <w:sz w:val="30"/>
          <w:szCs w:val="30"/>
        </w:rPr>
      </w:pPr>
      <w:r>
        <w:rPr>
          <w:rFonts w:hint="eastAsia" w:asciiTheme="minorEastAsia" w:hAnsiTheme="minorEastAsia" w:cstheme="minorEastAsia"/>
          <w:color w:val="333333"/>
          <w:sz w:val="30"/>
          <w:szCs w:val="30"/>
          <w:shd w:val="clear" w:fill="FFFFFF"/>
          <w:lang w:eastAsia="zh-CN"/>
        </w:rPr>
        <w:t>五</w:t>
      </w:r>
      <w:r>
        <w:rPr>
          <w:rFonts w:hint="eastAsia" w:asciiTheme="minorEastAsia" w:hAnsiTheme="minorEastAsia" w:eastAsiaTheme="minorEastAsia" w:cstheme="minorEastAsia"/>
          <w:color w:val="333333"/>
          <w:sz w:val="30"/>
          <w:szCs w:val="30"/>
          <w:shd w:val="clear" w:fill="FFFFFF"/>
        </w:rPr>
        <w:t xml:space="preserve">、项目支出：指在基本支出之外为完成特定行政任务和事业发展目标所发生的支出。 </w:t>
      </w:r>
    </w:p>
    <w:p>
      <w:pPr>
        <w:pStyle w:val="2"/>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line="360" w:lineRule="auto"/>
        <w:ind w:right="0" w:rightChars="0" w:firstLine="600" w:firstLineChars="200"/>
        <w:jc w:val="both"/>
        <w:textAlignment w:val="auto"/>
        <w:outlineLvl w:val="9"/>
        <w:rPr>
          <w:rFonts w:hint="eastAsia" w:asciiTheme="minorEastAsia" w:hAnsiTheme="minorEastAsia" w:eastAsiaTheme="minorEastAsia" w:cstheme="minorEastAsia"/>
          <w:sz w:val="30"/>
          <w:szCs w:val="30"/>
        </w:rPr>
      </w:pPr>
      <w:r>
        <w:rPr>
          <w:rFonts w:hint="eastAsia" w:asciiTheme="minorEastAsia" w:hAnsiTheme="minorEastAsia" w:cstheme="minorEastAsia"/>
          <w:color w:val="333333"/>
          <w:sz w:val="30"/>
          <w:szCs w:val="30"/>
          <w:shd w:val="clear" w:fill="FFFFFF"/>
          <w:lang w:eastAsia="zh-CN"/>
        </w:rPr>
        <w:t>六</w:t>
      </w:r>
      <w:r>
        <w:rPr>
          <w:rFonts w:hint="eastAsia" w:asciiTheme="minorEastAsia" w:hAnsiTheme="minorEastAsia" w:eastAsiaTheme="minorEastAsia" w:cstheme="minorEastAsia"/>
          <w:color w:val="333333"/>
          <w:sz w:val="30"/>
          <w:szCs w:val="30"/>
          <w:shd w:val="clear" w:fill="FFFFFF"/>
        </w:rPr>
        <w:t>、“三公”经费：纳入财政预决算管理的“三公”经费，是指</w:t>
      </w:r>
      <w:r>
        <w:rPr>
          <w:rFonts w:hint="eastAsia" w:asciiTheme="minorEastAsia" w:hAnsiTheme="minorEastAsia" w:cstheme="minorEastAsia"/>
          <w:color w:val="333333"/>
          <w:sz w:val="30"/>
          <w:szCs w:val="30"/>
          <w:shd w:val="clear" w:fill="FFFFFF"/>
          <w:lang w:eastAsia="zh-CN"/>
        </w:rPr>
        <w:t>本部门</w:t>
      </w:r>
      <w:r>
        <w:rPr>
          <w:rFonts w:hint="eastAsia" w:asciiTheme="minorEastAsia" w:hAnsiTheme="minorEastAsia" w:eastAsiaTheme="minorEastAsia" w:cstheme="minorEastAsia"/>
          <w:color w:val="333333"/>
          <w:sz w:val="30"/>
          <w:szCs w:val="30"/>
          <w:shd w:val="clear" w:fill="FFFFFF"/>
        </w:rPr>
        <w:t xml:space="preserve">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含车辆购置税）及租用费、燃料费、维修费、过路过桥费、保险费、安全奖励费用等支出；公务接待费反映单位按规定开支的各类公务接待（含外宾接待）支出。 </w:t>
      </w:r>
    </w:p>
    <w:p>
      <w:pPr>
        <w:pStyle w:val="2"/>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line="360" w:lineRule="auto"/>
        <w:ind w:right="0" w:rightChars="0" w:firstLine="600" w:firstLineChars="200"/>
        <w:jc w:val="both"/>
        <w:textAlignment w:val="auto"/>
        <w:outlineLvl w:val="9"/>
        <w:rPr>
          <w:rFonts w:hint="eastAsia" w:asciiTheme="minorEastAsia" w:hAnsiTheme="minorEastAsia" w:eastAsiaTheme="minorEastAsia" w:cstheme="minorEastAsia"/>
          <w:color w:val="333333"/>
          <w:sz w:val="30"/>
          <w:szCs w:val="30"/>
          <w:shd w:val="clear" w:fill="FFFFFF"/>
        </w:rPr>
      </w:pPr>
      <w:r>
        <w:rPr>
          <w:rFonts w:hint="eastAsia" w:asciiTheme="minorEastAsia" w:hAnsiTheme="minorEastAsia" w:cstheme="minorEastAsia"/>
          <w:color w:val="333333"/>
          <w:sz w:val="30"/>
          <w:szCs w:val="30"/>
          <w:shd w:val="clear" w:fill="FFFFFF"/>
          <w:lang w:eastAsia="zh-CN"/>
        </w:rPr>
        <w:t>七</w:t>
      </w:r>
      <w:r>
        <w:rPr>
          <w:rFonts w:hint="eastAsia" w:asciiTheme="minorEastAsia" w:hAnsiTheme="minorEastAsia" w:eastAsiaTheme="minorEastAsia" w:cstheme="minorEastAsia"/>
          <w:color w:val="333333"/>
          <w:sz w:val="30"/>
          <w:szCs w:val="30"/>
          <w:shd w:val="clear" w:fill="FFFFFF"/>
        </w:rPr>
        <w:t>、机关运行经费：为保障行政单位（含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pPr>
        <w:pStyle w:val="2"/>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line="360" w:lineRule="auto"/>
        <w:ind w:right="0" w:rightChars="0"/>
        <w:jc w:val="both"/>
        <w:textAlignment w:val="auto"/>
        <w:outlineLvl w:val="9"/>
        <w:rPr>
          <w:rFonts w:hint="eastAsia" w:asciiTheme="minorEastAsia" w:hAnsiTheme="minorEastAsia" w:eastAsiaTheme="minorEastAsia" w:cstheme="minorEastAsia"/>
          <w:color w:val="333333"/>
          <w:sz w:val="30"/>
          <w:szCs w:val="30"/>
          <w:shd w:val="clear" w:fill="FFFFFF"/>
        </w:rPr>
      </w:pPr>
    </w:p>
    <w:p>
      <w:pPr>
        <w:pStyle w:val="2"/>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line="360" w:lineRule="auto"/>
        <w:ind w:right="0" w:rightChars="0"/>
        <w:jc w:val="right"/>
        <w:textAlignment w:val="auto"/>
        <w:outlineLvl w:val="9"/>
        <w:rPr>
          <w:rFonts w:hint="eastAsia" w:asciiTheme="minorEastAsia" w:hAnsiTheme="minorEastAsia" w:eastAsiaTheme="minorEastAsia" w:cstheme="minorEastAsia"/>
          <w:color w:val="333333"/>
          <w:sz w:val="30"/>
          <w:szCs w:val="30"/>
          <w:shd w:val="clear" w:fill="FFFFFF"/>
          <w:lang w:val="en-US" w:eastAsia="zh-CN"/>
        </w:rPr>
      </w:pPr>
      <w:r>
        <w:rPr>
          <w:rFonts w:hint="eastAsia" w:asciiTheme="minorEastAsia" w:hAnsiTheme="minorEastAsia" w:cstheme="minorEastAsia"/>
          <w:color w:val="333333"/>
          <w:sz w:val="30"/>
          <w:szCs w:val="30"/>
          <w:shd w:val="clear" w:fill="FFFFFF"/>
          <w:lang w:val="en-US" w:eastAsia="zh-CN"/>
        </w:rPr>
        <w:t>云南省嵩明职教基地管理委员会</w:t>
      </w:r>
    </w:p>
    <w:p>
      <w:pPr>
        <w:keepNext w:val="0"/>
        <w:keepLines w:val="0"/>
        <w:pageBreakBefore w:val="0"/>
        <w:kinsoku/>
        <w:overflowPunct/>
        <w:topLinePunct w:val="0"/>
        <w:autoSpaceDE/>
        <w:autoSpaceDN/>
        <w:bidi w:val="0"/>
        <w:adjustRightInd/>
        <w:snapToGrid/>
        <w:spacing w:line="360" w:lineRule="auto"/>
        <w:ind w:right="0" w:rightChars="0" w:firstLine="600" w:firstLineChars="200"/>
        <w:jc w:val="center"/>
        <w:textAlignment w:val="auto"/>
        <w:outlineLvl w:val="9"/>
        <w:rPr>
          <w:rFonts w:hint="eastAsia" w:asciiTheme="minorEastAsia" w:hAnsiTheme="minorEastAsia" w:eastAsiaTheme="minorEastAsia" w:cstheme="minorEastAsia"/>
          <w:sz w:val="30"/>
          <w:szCs w:val="30"/>
          <w:lang w:eastAsia="zh-CN"/>
        </w:rPr>
      </w:pPr>
      <w:r>
        <w:rPr>
          <w:rFonts w:hint="eastAsia" w:asciiTheme="minorEastAsia" w:hAnsiTheme="minorEastAsia" w:cstheme="minorEastAsia"/>
          <w:sz w:val="30"/>
          <w:szCs w:val="30"/>
          <w:lang w:val="en-US" w:eastAsia="zh-CN"/>
        </w:rPr>
        <w:t xml:space="preserve">   </w:t>
      </w:r>
      <w:bookmarkStart w:id="0" w:name="_GoBack"/>
      <w:bookmarkEnd w:id="0"/>
      <w:r>
        <w:rPr>
          <w:rFonts w:hint="eastAsia" w:asciiTheme="minorEastAsia" w:hAnsiTheme="minorEastAsia" w:cstheme="minorEastAsia"/>
          <w:sz w:val="30"/>
          <w:szCs w:val="30"/>
          <w:lang w:val="en-US" w:eastAsia="zh-CN"/>
        </w:rPr>
        <w:t xml:space="preserve">                    2017年11月03日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mbria">
    <w:panose1 w:val="02040503050406030204"/>
    <w:charset w:val="00"/>
    <w:family w:val="roman"/>
    <w:pitch w:val="default"/>
    <w:sig w:usb0="E00002FF" w:usb1="400004FF" w:usb2="00000000" w:usb3="00000000" w:csb0="2000019F" w:csb1="00000000"/>
  </w:font>
  <w:font w:name="Calibri">
    <w:panose1 w:val="020F0502020204030204"/>
    <w:charset w:val="00"/>
    <w:family w:val="swiss"/>
    <w:pitch w:val="default"/>
    <w:sig w:usb0="E10002FF" w:usb1="4000ACFF" w:usb2="00000009" w:usb3="00000000" w:csb0="2000019F" w:csb1="00000000"/>
  </w:font>
  <w:font w:name="仿宋_GB2312">
    <w:panose1 w:val="02010609030101010101"/>
    <w:charset w:val="86"/>
    <w:family w:val="auto"/>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5"/>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51F27E20"/>
    <w:rsid w:val="5D7C330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qFormat="1"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uiPriority w:val="0"/>
  </w:style>
  <w:style w:type="table" w:default="1" w:styleId="7">
    <w:name w:val="Normal Table"/>
    <w:semiHidden/>
    <w:qFormat/>
    <w:uiPriority w:val="0"/>
    <w:tblPr>
      <w:tblLayout w:type="fixed"/>
      <w:tblCellMar>
        <w:top w:w="0" w:type="dxa"/>
        <w:left w:w="108" w:type="dxa"/>
        <w:bottom w:w="0" w:type="dxa"/>
        <w:right w:w="108" w:type="dxa"/>
      </w:tblCellMar>
    </w:tblPr>
  </w:style>
  <w:style w:type="paragraph" w:styleId="2">
    <w:name w:val="Normal (Web)"/>
    <w:basedOn w:val="1"/>
    <w:qFormat/>
    <w:uiPriority w:val="0"/>
    <w:pPr>
      <w:pBdr>
        <w:top w:val="none" w:color="auto" w:sz="0" w:space="0"/>
        <w:left w:val="none" w:color="auto" w:sz="0" w:space="0"/>
        <w:bottom w:val="none" w:color="auto" w:sz="0" w:space="0"/>
        <w:right w:val="none" w:color="auto" w:sz="0" w:space="0"/>
      </w:pBdr>
      <w:spacing w:before="0" w:beforeAutospacing="0" w:after="0" w:afterAutospacing="0"/>
      <w:ind w:left="0" w:right="0"/>
      <w:jc w:val="left"/>
    </w:pPr>
    <w:rPr>
      <w:kern w:val="0"/>
      <w:sz w:val="24"/>
      <w:lang w:val="en-US" w:eastAsia="zh-CN" w:bidi="ar"/>
    </w:rPr>
  </w:style>
  <w:style w:type="character" w:styleId="4">
    <w:name w:val="FollowedHyperlink"/>
    <w:basedOn w:val="3"/>
    <w:qFormat/>
    <w:uiPriority w:val="0"/>
    <w:rPr>
      <w:color w:val="515151"/>
      <w:sz w:val="21"/>
      <w:szCs w:val="21"/>
      <w:u w:val="none"/>
    </w:rPr>
  </w:style>
  <w:style w:type="character" w:styleId="5">
    <w:name w:val="HTML Typewriter"/>
    <w:basedOn w:val="3"/>
    <w:qFormat/>
    <w:uiPriority w:val="0"/>
    <w:rPr>
      <w:rFonts w:ascii="Courier New" w:hAnsi="Courier New"/>
      <w:sz w:val="20"/>
    </w:rPr>
  </w:style>
  <w:style w:type="character" w:styleId="6">
    <w:name w:val="Hyperlink"/>
    <w:basedOn w:val="3"/>
    <w:qFormat/>
    <w:uiPriority w:val="0"/>
    <w:rPr>
      <w:color w:val="515151"/>
      <w:sz w:val="21"/>
      <w:szCs w:val="21"/>
      <w:u w:val="none"/>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ScaleCrop>false</ScaleCrop>
  <LinksUpToDate>false</LinksUpToDate>
  <CharactersWithSpaces>0</CharactersWithSpaces>
  <Application>WPS Office_10.1.0.6877_F1E327BC-269C-435d-A152-05C5408002CA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2014-10-29T12:08:00Z</dcterms:created>
  <dc:creator>Administrator</dc:creator>
  <cp:lastModifiedBy>Administrator</cp:lastModifiedBy>
  <cp:lastPrinted>2017-11-03T08:27:48Z</cp:lastPrinted>
  <dcterms:modified xsi:type="dcterms:W3CDTF">2017-11-03T08:28:15Z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2052-10.1.0.6877</vt:lpwstr>
  </property>
</Properties>
</file>